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ascii="华文中宋" w:hAnsi="华文中宋" w:eastAsia="华文中宋" w:cs="Times New Roman"/>
          <w:b/>
          <w:color w:val="FF0000"/>
          <w:spacing w:val="20"/>
          <w:sz w:val="62"/>
          <w:szCs w:val="62"/>
        </w:rPr>
      </w:pPr>
      <w:r>
        <w:rPr>
          <w:rFonts w:hint="eastAsia" w:ascii="华文中宋" w:hAnsi="华文中宋" w:eastAsia="华文中宋" w:cs="Times New Roman"/>
          <w:b/>
          <w:color w:val="FF0000"/>
          <w:spacing w:val="6"/>
          <w:sz w:val="62"/>
          <w:szCs w:val="62"/>
        </w:rPr>
        <w:t>中国电子工业标准化技术协会</w:t>
      </w:r>
    </w:p>
    <w:p>
      <w:pPr>
        <w:spacing w:before="500" w:line="480" w:lineRule="exact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Times New Roman Regular" w:hAnsi="Times New Roman Regular" w:eastAsia="华文中宋" w:cs="Times New Roman Regular"/>
          <w:color w:val="FF0000"/>
          <w:spacing w:val="6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-85090</wp:posOffset>
                </wp:positionH>
                <wp:positionV relativeFrom="margin">
                  <wp:posOffset>622935</wp:posOffset>
                </wp:positionV>
                <wp:extent cx="5687695" cy="0"/>
                <wp:effectExtent l="0" t="0" r="0" b="0"/>
                <wp:wrapSquare wrapText="bothSides"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pt;margin-top:49.05pt;height:0pt;width:447.85pt;mso-position-horizontal-relative:margin;mso-position-vertic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blbn1wAAAAkBAAAPAAAAAAAAAAEAIAAAACIAAABkcnMvZG93bnJldi54bWxQ&#10;SwECFAAUAAAACACHTuJARwjB4/gBAAC/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ascii="Times New Roman Regular" w:hAnsi="Times New Roman Regular" w:eastAsia="仿宋" w:cs="Times New Roman Regular"/>
          <w:color w:val="000000"/>
          <w:sz w:val="32"/>
          <w:szCs w:val="32"/>
        </w:rPr>
        <w:t>中电标通〔2021〕030号</w:t>
      </w:r>
    </w:p>
    <w:p>
      <w:pPr>
        <w:spacing w:before="500" w:after="156" w:afterLines="50" w:line="360" w:lineRule="auto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黑体" w:hAnsi="黑体" w:eastAsia="黑体" w:cstheme="majorEastAsia"/>
          <w:bCs/>
          <w:sz w:val="36"/>
          <w:szCs w:val="36"/>
        </w:rPr>
        <w:t>关于</w:t>
      </w:r>
      <w:r>
        <w:rPr>
          <w:rFonts w:hint="eastAsia" w:ascii="黑体" w:hAnsi="黑体" w:eastAsia="黑体" w:cstheme="majorEastAsia"/>
          <w:bCs/>
          <w:sz w:val="36"/>
          <w:szCs w:val="36"/>
          <w:lang w:eastAsia="zh-Hans"/>
        </w:rPr>
        <w:t>举办团体标准制修订经验分享会</w:t>
      </w:r>
      <w:r>
        <w:rPr>
          <w:rFonts w:hint="eastAsia" w:ascii="黑体" w:hAnsi="黑体" w:eastAsia="黑体" w:cstheme="majorEastAsia"/>
          <w:bCs/>
          <w:sz w:val="36"/>
          <w:szCs w:val="36"/>
        </w:rPr>
        <w:t>的通知</w:t>
      </w:r>
    </w:p>
    <w:p>
      <w:pPr>
        <w:spacing w:before="500" w:after="156" w:afterLines="50" w:line="360" w:lineRule="auto"/>
        <w:rPr>
          <w:rFonts w:ascii="仿宋" w:hAnsi="仿宋" w:eastAsia="仿宋" w:cs="仿宋_GB2312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2"/>
          <w:szCs w:val="32"/>
          <w:lang w:bidi="ar"/>
        </w:rPr>
        <w:t>各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2"/>
          <w:szCs w:val="32"/>
          <w:lang w:eastAsia="zh-Hans" w:bidi="ar"/>
        </w:rPr>
        <w:t>会员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2"/>
          <w:szCs w:val="32"/>
          <w:lang w:bidi="ar"/>
        </w:rPr>
        <w:t>单位：</w:t>
      </w:r>
    </w:p>
    <w:p>
      <w:pPr>
        <w:widowControl/>
        <w:tabs>
          <w:tab w:val="left" w:pos="420"/>
        </w:tabs>
        <w:spacing w:line="360" w:lineRule="auto"/>
        <w:ind w:firstLine="640" w:firstLineChars="200"/>
        <w:rPr>
          <w:rFonts w:ascii="仿宋" w:hAnsi="仿宋" w:eastAsia="仿宋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使各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单位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进一步了解团体标准在企业发展中的重要作用及制修订流程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协会拟于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  <w:t>11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月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日下午举办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团体标准制修订经验分享会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。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会议将邀请在协会立项团体标准的相关单位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从立项的目的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意义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制修订流程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标准推广应用及实施效果等多方面与各会员单位分享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交流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  <w:t>。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Hans" w:bidi="ar"/>
        </w:rPr>
        <w:t>有关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事项通知如下: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ascii="Times New Roman Regular" w:hAnsi="Times New Roman Regular" w:eastAsia="仿宋" w:cs="Times New Roman Regular"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bidi="ar"/>
        </w:rPr>
        <w:t>时间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：</w:t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2021年11月3日（周三）14:00-16:00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bidi="ar"/>
        </w:rPr>
        <w:t>方式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 xml:space="preserve">腾讯会议（会议链接将在报名成功后发送至报名邮箱） 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eastAsia="zh-Hans" w:bidi="ar"/>
        </w:rPr>
        <w:t>分享</w:t>
      </w: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bidi="ar"/>
        </w:rPr>
        <w:t>标准</w:t>
      </w: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eastAsia="zh-Hans" w:bidi="ar"/>
        </w:rPr>
        <w:t>及讲师</w:t>
      </w:r>
    </w:p>
    <w:p>
      <w:pPr>
        <w:widowControl/>
        <w:tabs>
          <w:tab w:val="left" w:pos="420"/>
        </w:tabs>
        <w:spacing w:line="360" w:lineRule="auto"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1、《零信任系统技术规范》</w:t>
      </w:r>
    </w:p>
    <w:p>
      <w:pPr>
        <w:widowControl/>
        <w:tabs>
          <w:tab w:val="left" w:pos="420"/>
        </w:tabs>
        <w:spacing w:line="360" w:lineRule="auto"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讲师：刘海涛，深圳市腾讯计算机系统有限公司标准事务中心首席标准专家；</w:t>
      </w:r>
    </w:p>
    <w:p>
      <w:pPr>
        <w:widowControl/>
        <w:tabs>
          <w:tab w:val="left" w:pos="420"/>
        </w:tabs>
        <w:spacing w:line="360" w:lineRule="auto"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2、《基于人工智能语音交互的养老服务平台服务与技术要求》——五福AI助老项目应用案例分享</w:t>
      </w:r>
    </w:p>
    <w:p>
      <w:pPr>
        <w:widowControl/>
        <w:tabs>
          <w:tab w:val="left" w:pos="420"/>
        </w:tabs>
        <w:spacing w:line="360" w:lineRule="auto"/>
        <w:ind w:firstLine="640" w:firstLineChars="200"/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讲师：王丹，北京百度公益高级经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理。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rPr>
          <w:rFonts w:ascii="黑体" w:hAnsi="黑体" w:eastAsia="黑体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bidi="ar"/>
        </w:rPr>
        <w:t>报名事项</w:t>
      </w:r>
    </w:p>
    <w:p>
      <w:pPr>
        <w:widowControl/>
        <w:tabs>
          <w:tab w:val="left" w:pos="420"/>
        </w:tabs>
        <w:spacing w:line="360" w:lineRule="auto"/>
        <w:ind w:firstLine="640" w:firstLineChars="200"/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1、请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Hans" w:bidi="ar"/>
        </w:rPr>
        <w:t>各相关单位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于</w:t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11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月</w:t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1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日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eastAsia="zh-Hans" w:bidi="ar"/>
        </w:rPr>
        <w:t>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Hans" w:bidi="ar"/>
        </w:rPr>
        <w:t>扫描下方二维码或填写附件报名回执参会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；</w:t>
      </w:r>
    </w:p>
    <w:p>
      <w:pPr>
        <w:widowControl/>
        <w:tabs>
          <w:tab w:val="left" w:pos="420"/>
        </w:tabs>
        <w:spacing w:line="360" w:lineRule="auto"/>
        <w:ind w:left="640"/>
        <w:rPr>
          <w:rFonts w:ascii="仿宋" w:hAnsi="仿宋" w:eastAsia="仿宋" w:cs="宋体"/>
          <w:color w:val="333333"/>
          <w:kern w:val="0"/>
          <w:sz w:val="32"/>
          <w:szCs w:val="32"/>
          <w:lang w:bidi="ar"/>
        </w:rPr>
      </w:pP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2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、为保证线上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eastAsia="zh-Hans" w:bidi="ar"/>
        </w:rPr>
        <w:t>会议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质量，本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eastAsia="zh-Hans" w:bidi="ar"/>
        </w:rPr>
        <w:t>次会议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限300人参加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bidi="ar"/>
        </w:rPr>
        <w:t>；</w:t>
      </w:r>
    </w:p>
    <w:p>
      <w:pPr>
        <w:widowControl/>
        <w:tabs>
          <w:tab w:val="left" w:pos="420"/>
        </w:tabs>
        <w:spacing w:line="360" w:lineRule="auto"/>
        <w:ind w:left="640"/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</w:pP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3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、</w:t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联系人：</w:t>
      </w:r>
      <w:r>
        <w:fldChar w:fldCharType="begin"/>
      </w:r>
      <w:r>
        <w:instrText xml:space="preserve"> HYPERLINK "mailto:李亚炜，010-68207906，liyw@cesa.cn;" </w:instrText>
      </w:r>
      <w:r>
        <w:fldChar w:fldCharType="separate"/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李亚炜，010-68207906，liyw@cesa.cn</w:t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fldChar w:fldCharType="end"/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；</w:t>
      </w:r>
    </w:p>
    <w:p>
      <w:pPr>
        <w:widowControl/>
        <w:tabs>
          <w:tab w:val="left" w:pos="420"/>
        </w:tabs>
        <w:spacing w:line="360" w:lineRule="auto"/>
        <w:ind w:firstLine="2409" w:firstLineChars="753"/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</w:pP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李</w:t>
      </w:r>
      <w:r>
        <w:rPr>
          <w:rFonts w:hint="eastAsia"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 xml:space="preserve">  </w:t>
      </w:r>
      <w:r>
        <w:rPr>
          <w:rFonts w:ascii="Times New Roman Regular" w:hAnsi="Times New Roman Regular" w:eastAsia="仿宋" w:cs="Times New Roman Regular"/>
          <w:color w:val="333333"/>
          <w:kern w:val="0"/>
          <w:sz w:val="32"/>
          <w:szCs w:val="32"/>
          <w:lang w:bidi="ar"/>
        </w:rPr>
        <w:t>聪，010-68200670，lic@cesa.cn。</w:t>
      </w:r>
    </w:p>
    <w:p>
      <w:pPr>
        <w:widowControl/>
        <w:tabs>
          <w:tab w:val="left" w:pos="420"/>
        </w:tabs>
        <w:spacing w:line="360" w:lineRule="auto"/>
        <w:ind w:firstLine="420" w:firstLineChars="200"/>
        <w:jc w:val="center"/>
        <w:rPr>
          <w:rFonts w:ascii="宋体" w:hAnsi="宋体" w:eastAsia="宋体" w:cs="宋体"/>
          <w:color w:val="333333"/>
          <w:kern w:val="0"/>
          <w:sz w:val="32"/>
          <w:szCs w:val="32"/>
          <w:lang w:bidi="ar"/>
        </w:rPr>
      </w:pPr>
      <w:r>
        <w:drawing>
          <wp:inline distT="0" distB="0" distL="114300" distR="114300">
            <wp:extent cx="2694940" cy="2694940"/>
            <wp:effectExtent l="0" t="0" r="2286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righ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2021年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  <w:t>10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月</w:t>
      </w:r>
      <w:r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  <w:t>20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日</w:t>
      </w:r>
    </w:p>
    <w:p>
      <w:pPr>
        <w:widowControl/>
        <w:spacing w:beforeAutospacing="1" w:afterAutospacing="1"/>
        <w:jc w:val="left"/>
        <w:rPr>
          <w:rFonts w:ascii="黑体" w:hAnsi="黑体" w:eastAsia="黑体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 </w:t>
      </w:r>
      <w:r>
        <w:rPr>
          <w:rFonts w:hint="eastAsia" w:ascii="黑体" w:hAnsi="黑体" w:eastAsia="黑体" w:cs="仿宋_GB2312"/>
          <w:color w:val="333333"/>
          <w:kern w:val="0"/>
          <w:sz w:val="32"/>
          <w:szCs w:val="32"/>
          <w:lang w:bidi="ar"/>
        </w:rPr>
        <w:t>附件：报名回执</w:t>
      </w:r>
    </w:p>
    <w:tbl>
      <w:tblPr>
        <w:tblStyle w:val="9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41"/>
        <w:gridCol w:w="1861"/>
        <w:gridCol w:w="1417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单位名称</w:t>
            </w:r>
          </w:p>
        </w:tc>
        <w:tc>
          <w:tcPr>
            <w:tcW w:w="735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手机号码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邮箱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手机号码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color w:val="333333"/>
                <w:sz w:val="32"/>
                <w:szCs w:val="32"/>
              </w:rPr>
              <w:t>邮箱</w:t>
            </w:r>
          </w:p>
        </w:tc>
        <w:tc>
          <w:tcPr>
            <w:tcW w:w="25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_GB2312"/>
                <w:color w:val="333333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E2FA6"/>
    <w:multiLevelType w:val="singleLevel"/>
    <w:tmpl w:val="616E2FA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eastAsia="黑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6C"/>
    <w:rsid w:val="00012B3B"/>
    <w:rsid w:val="00020612"/>
    <w:rsid w:val="000D7466"/>
    <w:rsid w:val="0010706C"/>
    <w:rsid w:val="003246D6"/>
    <w:rsid w:val="006372B6"/>
    <w:rsid w:val="006D1E2D"/>
    <w:rsid w:val="00A718C4"/>
    <w:rsid w:val="00AC4F85"/>
    <w:rsid w:val="00AF7948"/>
    <w:rsid w:val="00B87546"/>
    <w:rsid w:val="00C3683E"/>
    <w:rsid w:val="00D010B7"/>
    <w:rsid w:val="00F37FE0"/>
    <w:rsid w:val="01547006"/>
    <w:rsid w:val="04313CC9"/>
    <w:rsid w:val="09AC3904"/>
    <w:rsid w:val="10261CF2"/>
    <w:rsid w:val="14563A87"/>
    <w:rsid w:val="15517F98"/>
    <w:rsid w:val="170800A4"/>
    <w:rsid w:val="1BFA5FD2"/>
    <w:rsid w:val="1D65655A"/>
    <w:rsid w:val="1E540A75"/>
    <w:rsid w:val="2095099A"/>
    <w:rsid w:val="292F3E77"/>
    <w:rsid w:val="2B785787"/>
    <w:rsid w:val="2E5165E4"/>
    <w:rsid w:val="318F232A"/>
    <w:rsid w:val="31B17721"/>
    <w:rsid w:val="343E3DB4"/>
    <w:rsid w:val="34914DA5"/>
    <w:rsid w:val="3BAE48BB"/>
    <w:rsid w:val="3F47013B"/>
    <w:rsid w:val="432C2ACC"/>
    <w:rsid w:val="49381141"/>
    <w:rsid w:val="53341734"/>
    <w:rsid w:val="55346E64"/>
    <w:rsid w:val="597FA1C0"/>
    <w:rsid w:val="5BDF9716"/>
    <w:rsid w:val="5DFB3258"/>
    <w:rsid w:val="60B00CB7"/>
    <w:rsid w:val="63563443"/>
    <w:rsid w:val="6630460E"/>
    <w:rsid w:val="66364474"/>
    <w:rsid w:val="67A51A00"/>
    <w:rsid w:val="697A3682"/>
    <w:rsid w:val="69BE1B9E"/>
    <w:rsid w:val="6DFD7FFA"/>
    <w:rsid w:val="6E280663"/>
    <w:rsid w:val="6E3D7EC2"/>
    <w:rsid w:val="6E5E3887"/>
    <w:rsid w:val="6F59099D"/>
    <w:rsid w:val="6F7F3A68"/>
    <w:rsid w:val="6FAF23C1"/>
    <w:rsid w:val="74315A42"/>
    <w:rsid w:val="74745205"/>
    <w:rsid w:val="7A231D4A"/>
    <w:rsid w:val="7B5732D8"/>
    <w:rsid w:val="7CCC641F"/>
    <w:rsid w:val="7D9C1BC8"/>
    <w:rsid w:val="E27F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2020-10-29T12:11:00Z</dcterms:created>
  <dc:creator>xuanxuan</dc:creator>
  <cp:lastModifiedBy>lc</cp:lastModifiedBy>
  <dcterms:modified xsi:type="dcterms:W3CDTF">2021-10-20T02:12:56Z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5BC6689703A3440396B3DEFE602CD555</vt:lpwstr>
  </property>
</Properties>
</file>